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FB" w:rsidRDefault="00293BFB" w:rsidP="00293BFB">
      <w:pPr>
        <w:tabs>
          <w:tab w:val="left" w:pos="5003"/>
          <w:tab w:val="right" w:pos="9071"/>
        </w:tabs>
        <w:spacing w:before="100"/>
        <w:jc w:val="center"/>
        <w:rPr>
          <w:b/>
        </w:rPr>
      </w:pPr>
      <w:r>
        <w:rPr>
          <w:b/>
        </w:rPr>
        <w:t>ПРОЕКТ МУНИЦИПАЛЬНОГО КОНТРАКТА</w:t>
      </w:r>
    </w:p>
    <w:p w:rsidR="00293BFB" w:rsidRDefault="00293BFB" w:rsidP="00293BFB">
      <w:pPr>
        <w:tabs>
          <w:tab w:val="left" w:pos="5003"/>
          <w:tab w:val="right" w:pos="9071"/>
        </w:tabs>
        <w:spacing w:before="100"/>
        <w:jc w:val="center"/>
        <w:rPr>
          <w:b/>
        </w:rPr>
      </w:pPr>
    </w:p>
    <w:tbl>
      <w:tblPr>
        <w:tblW w:w="10802" w:type="dxa"/>
        <w:tblInd w:w="78" w:type="dxa"/>
        <w:tblLayout w:type="fixed"/>
        <w:tblLook w:val="0000"/>
      </w:tblPr>
      <w:tblGrid>
        <w:gridCol w:w="9"/>
        <w:gridCol w:w="4437"/>
        <w:gridCol w:w="975"/>
        <w:gridCol w:w="389"/>
        <w:gridCol w:w="702"/>
        <w:gridCol w:w="227"/>
        <w:gridCol w:w="82"/>
        <w:gridCol w:w="101"/>
        <w:gridCol w:w="87"/>
        <w:gridCol w:w="1107"/>
        <w:gridCol w:w="579"/>
        <w:gridCol w:w="109"/>
        <w:gridCol w:w="1404"/>
        <w:gridCol w:w="10"/>
        <w:gridCol w:w="509"/>
        <w:gridCol w:w="75"/>
      </w:tblGrid>
      <w:tr w:rsidR="00293BFB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 w:val="restart"/>
            <w:shd w:val="clear" w:color="auto" w:fill="auto"/>
            <w:vAlign w:val="bottom"/>
          </w:tcPr>
          <w:p w:rsidR="00293BFB" w:rsidRDefault="00293BFB" w:rsidP="00BD0593">
            <w:pPr>
              <w:jc w:val="center"/>
            </w:pPr>
            <w:proofErr w:type="gramStart"/>
            <w:r>
              <w:rPr>
                <w:rFonts w:ascii="Arial" w:hAnsi="Arial" w:cs="Arial"/>
                <w:b/>
                <w:bCs/>
              </w:rPr>
              <w:t>КОНТРАКТ № ____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caps/>
              </w:rPr>
              <w:t xml:space="preserve">на оказание информационных </w:t>
            </w:r>
            <w:r w:rsidRPr="00911B9C">
              <w:rPr>
                <w:rFonts w:ascii="Arial" w:hAnsi="Arial" w:cs="Arial"/>
                <w:b/>
                <w:caps/>
              </w:rPr>
              <w:t>услуг с использованием экземпляров Систем КонсультантПлюс на основе специального лицензионного программного обеспечения, обеспечивающего совместимость информационных услуг с установленными в МУНИЦИПАЛЬНОМ УНИТАРНОМ ПРЕДПРИЯТИИ  АДМИНИСТРАЦИИ ГОРОДСКОГО ПОСЕЛЕНИЯ Г.КОТОВО  "КОТЕЛЬНЫЕ И ТЕПЛОВЫЕ СЕТИ" экземплярами Систем КонсультантПлюс для нужд МУНИЦИПАЛЬНОГО УНИТАРНОГО</w:t>
            </w:r>
            <w:r>
              <w:rPr>
                <w:rFonts w:ascii="Arial" w:hAnsi="Arial" w:cs="Arial"/>
                <w:b/>
                <w:caps/>
              </w:rPr>
              <w:t xml:space="preserve"> ПРЕДПРИЯТИЯ  АДМИНИСТРАЦИИ ГОРОДСКОГО ПОСЕЛЕНИЯ Г.КОТОВО  "КОТЕЛЬНЫЕ И ТЕПЛОВЫЕ СЕТИ"</w:t>
            </w:r>
            <w:proofErr w:type="gramEnd"/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/>
            <w:shd w:val="clear" w:color="auto" w:fill="auto"/>
            <w:vAlign w:val="center"/>
          </w:tcPr>
          <w:p w:rsidR="00293BFB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/>
            <w:shd w:val="clear" w:color="auto" w:fill="auto"/>
            <w:vAlign w:val="center"/>
          </w:tcPr>
          <w:p w:rsidR="00293BFB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/>
            <w:shd w:val="clear" w:color="auto" w:fill="auto"/>
            <w:vAlign w:val="center"/>
          </w:tcPr>
          <w:p w:rsidR="00293BFB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/>
            <w:shd w:val="clear" w:color="auto" w:fill="auto"/>
            <w:vAlign w:val="center"/>
          </w:tcPr>
          <w:p w:rsidR="00293BFB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/>
            <w:shd w:val="clear" w:color="auto" w:fill="auto"/>
            <w:vAlign w:val="center"/>
          </w:tcPr>
          <w:p w:rsidR="00293BFB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г. Волгоград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6" w:type="dxa"/>
            <w:gridSpan w:val="8"/>
            <w:shd w:val="clear" w:color="auto" w:fill="auto"/>
            <w:vAlign w:val="bottom"/>
          </w:tcPr>
          <w:p w:rsidR="00293BFB" w:rsidRDefault="00293BFB" w:rsidP="00BD0593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«___» ______________ 2017 г.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31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________________________________________________________________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- официальный Дистрибьютор Сети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именуемое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в дальнейшем Исполнитель, в лице __________________________________________, действующей на основании ____________, с одной стороны, и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58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МУНИЦИПАЛЬНОЕ УНИТАРНОЕ ПРЕДПРИЯТИЕ  АДМИНИСТРАЦИИ ГОРОДСКОГО ПОСЕЛЕНИЯ Г.КОТОВО  "КОТЕЛЬНЫЕ И ТЕПЛОВЫЕ СЕТИ"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1645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spacing w:after="240"/>
              <w:jc w:val="both"/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именуемое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в дальнейшем Заказчик, в лице _________________________________________________________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действующего на основании ______________________________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с другой стороны, вместе именуемые Стороны заключили настоящий Контракт в соответствии с Федеральным законом № 44-ФЗ от 05.04.2013 "О контрактной системе в сфере закупок товаров, работ, услуг для обеспечения государственных и муниципальных нужд" и протоколом № __________________ от «____ » ______________ 201__. о нижеследующем: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5413" w:type="dxa"/>
            <w:gridSpan w:val="2"/>
            <w:shd w:val="clear" w:color="auto" w:fill="auto"/>
          </w:tcPr>
          <w:p w:rsidR="00293BFB" w:rsidRDefault="00293BFB" w:rsidP="00BD0593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Default="00293BFB" w:rsidP="00BD0593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 ОСНОВНЫЕ ПОНЯТИЯ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1.1. Справочная Правовая Система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(далее - Система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или Система)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1.2. Экземпляр Системы - копия Системы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 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1.3. Регистрация экземпляра Системы на компьютере Заказчика (далее регистрация) - процедура, при которой запоминаются параметры конкретного компьютера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Заказчика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и генерируется цифровой код, после принятия которого экземпляр Системы становится работоспособным на данном компьютере. 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1.4. Перерегистрация экземпляра Системы - регистрация экземпляра Системы, перенесенного на новый компьютер Заказчика.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1.5. 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1.6. КЦ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- организация, на основании договора с которой Дистрибьютор осуществляет поставку экземпляров Систем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и оказание информационных услуг с использованием экземпляров Систем (услуг по адаптации и сопровождению экземпляров Систем).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1152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1.7. Правомерный приобретатель экземпляра Системы (Заказчик) - физическое/юридическое лицо, приобретшее экземпляр Системы у официального Дистрибьютора (Представителя) Сети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, или физическое/юридическое лицо, получившее на законных основаниях от физического/юридического лица экземпляр Системы, ранее приобретенный у официального Дистрибьютора (Представителя) Сети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(от правомерного приобретателя экземпляра Системы).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45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1.8. Число одновременных доступов (далее - число ОД) - параметр Системы, определяющий максимальное количество ЭВМ, с которых может быть осуществлен одновременный доступ к Системе.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2. ПРЕДМЕТ КОНТРАКТА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lastRenderedPageBreak/>
              <w:t>2.1. Исполнитель обязуется по заданию Заказчика оказывать информационные услуги с использованием следующег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о(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их)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) Системы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(услуги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) Системы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), принадлежащего(их) Заказчику: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2"/>
          <w:wBefore w:w="10" w:type="dxa"/>
          <w:wAfter w:w="582" w:type="dxa"/>
          <w:trHeight w:val="477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11B9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Название экземпляра Системы </w:t>
            </w:r>
            <w:proofErr w:type="spellStart"/>
            <w:r w:rsidRPr="00911B9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КонсультантПлюс</w:t>
            </w:r>
            <w:proofErr w:type="spellEnd"/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11B9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Номера дистрибутивов</w:t>
            </w:r>
          </w:p>
        </w:tc>
        <w:tc>
          <w:tcPr>
            <w:tcW w:w="2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11B9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Тип систем</w:t>
            </w: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Число ОД</w:t>
            </w:r>
          </w:p>
        </w:tc>
      </w:tr>
      <w:tr w:rsidR="00293BFB" w:rsidTr="00293BFB">
        <w:trPr>
          <w:gridBefore w:val="1"/>
          <w:gridAfter w:val="2"/>
          <w:wBefore w:w="10" w:type="dxa"/>
          <w:wAfter w:w="582" w:type="dxa"/>
          <w:trHeight w:val="541"/>
        </w:trPr>
        <w:tc>
          <w:tcPr>
            <w:tcW w:w="4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СПС Консультант Бизнес</w:t>
            </w: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854581</w:t>
            </w:r>
          </w:p>
        </w:tc>
        <w:tc>
          <w:tcPr>
            <w:tcW w:w="2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Однопользовательская сетевая Серия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93BFB" w:rsidTr="00293BFB">
        <w:trPr>
          <w:gridBefore w:val="1"/>
          <w:gridAfter w:val="2"/>
          <w:wBefore w:w="10" w:type="dxa"/>
          <w:wAfter w:w="582" w:type="dxa"/>
          <w:trHeight w:val="541"/>
        </w:trPr>
        <w:tc>
          <w:tcPr>
            <w:tcW w:w="4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ОП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: Конструктор договоров Модуль доступа</w:t>
            </w: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37721</w:t>
            </w:r>
          </w:p>
        </w:tc>
        <w:tc>
          <w:tcPr>
            <w:tcW w:w="2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Локальная Серия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Оказание услуг осуществляется в порядке, указанном в разделе 3 настоящего Контракта, по адресу: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 xml:space="preserve">Российская Федерация, 403805, Волгоградская </w:t>
            </w: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обл</w:t>
            </w:r>
            <w:proofErr w:type="spellEnd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, Котовский р-н, Котово г, Мира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ул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, дом № 159А.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Заказчик обязуется оплачивать указанные услуги.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2.2. Использование Заказчиком передаваемой информации.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2.2.1. Заказчик имеет право без дополнительных письменных разрешений распространять любым способом (продавать, сдавать в прокат и т. д.) и предоставлять доступ третьим лицам к текстам правовых актов в печатном виде с обязательным указанием соответствующей Системы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как источника информации.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144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2.2.2. Использование в печатном виде информации, самостоятельно являющейся объектом авторского права (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комментарии, разъяснения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. Под использованием информации в печатном виде в настоящем подпункте понимается её воспроизведение на материальных носителях и последующее их распространение любым способом (продажа, прокат и т. д.), а также предоставление доступа к этим материальным носителям третьим лицам.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1215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2.3. Использование в электронном виде любой переданной информации возможно только после получения письменного согласия КЦ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. Под использованием информации в электронном виде в настоящем пункте понимается: копирование и последующее распространение третьим лицам информации на магнитных носителях, по телекоммуникационным сетям, посредством размещения в Интернете и другим способом, а также иное предоставление доступа к информации третьим лицам.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3. ПОРЯДОК ОКАЗАНИЯ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А(</w:t>
            </w:r>
            <w:proofErr w:type="gramEnd"/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ОВ) СИСТЕМ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3.1. Исполнитель начинает оказывать информационные услуги с использованием экземпляра Системы (услуги по адаптации и сопровождению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после предоставления Заказчиком оригинала Регистрационной карты (листа) с номером, соответствующим номеру экземпляра Системы.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3.2. Оказание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предусматривает: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адаптацию (установку, тестирование, регистрацию, формирование в комплек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т(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ы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))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 на компьютерном оборудовании Заказчика;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передачу Заказчику актуальной информации (актуальных наборов текстовой информации, адаптированных 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к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 установленным у Заказчика экземпляра Систем) еженедельно со специалистом  по информационному сопровождению;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техническую профилактику работоспособности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и восстановление работоспособности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в случае сбоев компьютерного оборудования после их устранения Заказчиком (тестирование,  переустановка);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консультирование по работе с экземпляро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м(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ами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Системы, в т.ч. обучение Заказчика работе с экземпляром(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ами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) Системы по методикам Сети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с возможностью получения специального сертификата об обучении;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предоставление возможности получения Заказчиком консультаций по работе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по телефону и в офисе Исполнителя;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предоставление другой информации и материалов;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 - предоставление иных услуг по адаптации и сопровождению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экземпяр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75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3.3. Заказчик имеет право получать текущую информацию не реже 1 (одного) раза в неделю, в т.ч. принимать наборы текстовой информации в принадлежащий ему экземпляр Системы в соответствии с его функциональным назначением.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3.4. Оказание Заказчику текущих информационных услуг с использованием экземпляра Системы (услуг по адаптации и сопровождению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осуществляется без выбора документов.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117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3.5. Заказчик обязуется согласовать с Исполнителем точное время доставки информации, обеспечить готовность технических средств и беспрепятственный доступ к экземпляр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у(</w:t>
            </w:r>
            <w:proofErr w:type="spellStart"/>
            <w:proofErr w:type="gramEnd"/>
            <w:r>
              <w:rPr>
                <w:rFonts w:ascii="Arial" w:hAnsi="Arial" w:cs="Arial"/>
                <w:sz w:val="18"/>
                <w:szCs w:val="18"/>
              </w:rPr>
              <w:t>ам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Системы в оговоренное время в случае доставки информации специалистом Исполнителя. В случае доставки информации с помощью телекоммуникационных сре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дств вс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е расходы, связанные с обеспечением достаточного для оказания текущих информационных услуг трафика, оплачиваются Заказчиком за свой счет.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ПОРЯДОК ИСПОЛЬЗОВАНИЯ И ПЕРЕДАЧИ ЭКЗЕМПЛЯР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А(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ОВ) СИСТЕМЫ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4.1. Экземпляр Системы (сетевая версия экземпляра Системы) содержит программную защиту от несанкционированного копирования и работоспособен только после его регистрации Исполнителем.</w:t>
            </w:r>
          </w:p>
        </w:tc>
      </w:tr>
      <w:tr w:rsidR="00293BFB" w:rsidTr="00293BFB">
        <w:trPr>
          <w:gridBefore w:val="1"/>
          <w:gridAfter w:val="3"/>
          <w:wBefore w:w="10" w:type="dxa"/>
          <w:wAfter w:w="592" w:type="dxa"/>
          <w:trHeight w:val="96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Default="00293BFB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4.2. Заказчик вправе переносить экземпляр Системы (сетевую версию экземпляра Системы) на друго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spellStart"/>
            <w:proofErr w:type="gramEnd"/>
            <w:r>
              <w:rPr>
                <w:rFonts w:ascii="Arial" w:hAnsi="Arial" w:cs="Arial"/>
                <w:sz w:val="18"/>
                <w:szCs w:val="18"/>
              </w:rPr>
              <w:t>ую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компьютер (локальную сеть). Перенос подразумевает удаление экземпляра Системы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сетевего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экземпляра Системы) с прежнего компьютера (локальной сети). В этом случае Исполнитель обязан по требованию Заказчика перерегистрировать экземпляр Системы.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96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4.3. Заказчик не вправе использовать 1 (один) экземпляр Системы на 2 (двух) и более компьютерах одновременно. Заказчик не вправе использовать сетевую версию экземпляра Системы на 2 (двух) и более локальных сетях одновременно и/или использовать  в локальной сети с числом ОД  большим, чем определено настоящим Контрактом для данной Системы.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4.4. Заказчик вправе передать экземпля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р(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ы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) Системы третьему лицу в собственность только после получения письменного согласия КЦ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4.5. Заказчик не вправе передавать экземпля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р(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ы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третьему лицу во временное пользование (в том числе прокат, аренду).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120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4.6. После передачи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третьему лицу Заказчик обязан в десятидневный срок предоставить Исполнителю копии документов, подтверждающих факт передачи, а именно: либо копию Договора, либо копию Акта приемки-передачи, либо копии Счета и Платежного поручения с печатью банка. При отсутствии документов, подтверждающих передачу, Исполнитель не будет оказывать информационные услуги с использованием экземпляров Систем (услуг по адаптации и сопровождению экземпляров Систем) третьему лицу.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4.7. После передачи Заказчиком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третьему лицу все обязательства Исполнителя перед Заказчиком по оказанию информационных услуг с использованием данного(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ых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теряют силу.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76"/>
        </w:trPr>
        <w:tc>
          <w:tcPr>
            <w:tcW w:w="10200" w:type="dxa"/>
            <w:gridSpan w:val="12"/>
            <w:vMerge w:val="restart"/>
            <w:shd w:val="clear" w:color="auto" w:fill="auto"/>
            <w:vAlign w:val="bottom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5. СТОИМОСТЬ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А(</w:t>
            </w:r>
            <w:proofErr w:type="gramEnd"/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ОВ) СИСТЕМЫ. ПОРЯДОК РАСЧЕТОВ.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44"/>
        </w:trPr>
        <w:tc>
          <w:tcPr>
            <w:tcW w:w="10200" w:type="dxa"/>
            <w:gridSpan w:val="12"/>
            <w:vMerge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5.1. Стоимость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по настоящему Контракту составляет ____________________ рублей.</w:t>
            </w:r>
            <w:r w:rsidR="00B66A71">
              <w:rPr>
                <w:rFonts w:ascii="Arial" w:hAnsi="Arial" w:cs="Arial"/>
                <w:sz w:val="18"/>
                <w:szCs w:val="18"/>
              </w:rPr>
              <w:t xml:space="preserve"> Форма оплаты – безналичный расчет, наличный расчет.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5.2. Принятие Заказчиком полностью или частично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Системы), оказываемых в текущем месяце, означает согласие Заказчика с объемом и стоимостью данных информационных услуг на текущий месяц.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56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5.3. Заказчик оплачивает стоимость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в текущем месяце до 15 числа месяца оказания услуг.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Под датой оплаты понимается дата списания денежных сре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дств с р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асчетного счета Заказчика или  внесение денежных средств в кассу Исполнителя.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5.4. Основанием для расчетов является Счет, который Исполнитель предоставляет Заказчику. В Счете указывается стоимость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за месяц.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5.5. В случае полной или частичной просрочки платежа Исполнитель будет вправе прекратить оказание Заказчику информационных услуг с использованием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Системы) и/или отказаться от исполнения настоящего Контракта в одностороннем порядке.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5.6. В случае превышения сумм, выплаченных Заказчиком в качестве предоплаты, над стоимостью оказанных услуг, сумма этого превышения рассматривается Исполнителем как аванс Заказчика в счет будущих услуг, если иное не заявлено Заказчиком.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5.7. Если Заказчик произвел платеж, сумма которого недостаточна для погашения денежного обязательства полностью, то в первую очередь погашается задолженность за наиболее ранний месяц. При оплате за конкретный месяц в первую очередь погашается задолженность за фактически оказанные услуги.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911B9C" w:rsidRPr="00911B9C" w:rsidRDefault="00911B9C" w:rsidP="00911B9C">
            <w:pPr>
              <w:jc w:val="both"/>
              <w:rPr>
                <w:rStyle w:val="a3"/>
                <w:rFonts w:ascii="Trebuchet MS" w:hAnsi="Trebuchet MS"/>
                <w:sz w:val="20"/>
                <w:szCs w:val="20"/>
              </w:rPr>
            </w:pPr>
            <w:r w:rsidRPr="00911B9C">
              <w:rPr>
                <w:rStyle w:val="a3"/>
                <w:rFonts w:ascii="Trebuchet MS" w:hAnsi="Trebuchet MS"/>
                <w:sz w:val="20"/>
                <w:szCs w:val="20"/>
              </w:rPr>
              <w:t xml:space="preserve">                                                 6. Обеспечение исполнения контракта</w:t>
            </w:r>
          </w:p>
          <w:p w:rsidR="00293BFB" w:rsidRPr="00911B9C" w:rsidRDefault="00911B9C" w:rsidP="00911B9C">
            <w:pPr>
              <w:jc w:val="both"/>
            </w:pPr>
            <w:r w:rsidRPr="00911B9C">
              <w:rPr>
                <w:rFonts w:ascii="Trebuchet MS" w:hAnsi="Trebuchet MS"/>
                <w:sz w:val="20"/>
                <w:szCs w:val="20"/>
              </w:rPr>
              <w:br/>
              <w:t>6.1. Обеспечение исполнения настоящего Контракта установлено в размере 5 (пяти) процентов начальной (максимальной) цены контракта и составляет 3 700 (три тысячи семьсот) рублей 00 копеек.</w:t>
            </w:r>
            <w:r w:rsidRPr="00911B9C">
              <w:rPr>
                <w:rFonts w:ascii="Trebuchet MS" w:hAnsi="Trebuchet MS"/>
                <w:sz w:val="20"/>
                <w:szCs w:val="20"/>
              </w:rPr>
              <w:br/>
              <w:t xml:space="preserve">6.2. </w:t>
            </w:r>
            <w:proofErr w:type="gramStart"/>
            <w:r w:rsidRPr="00911B9C">
              <w:rPr>
                <w:rFonts w:ascii="Trebuchet MS" w:hAnsi="Trebuchet MS"/>
                <w:sz w:val="20"/>
                <w:szCs w:val="20"/>
              </w:rPr>
              <w:t xml:space="preserve">Исполнение контракта может обеспечиваться предоставлением банковской гарантии, выданной </w:t>
            </w:r>
            <w:r w:rsidRPr="00911B9C">
              <w:rPr>
                <w:rFonts w:ascii="Trebuchet MS" w:hAnsi="Trebuchet MS"/>
                <w:sz w:val="20"/>
                <w:szCs w:val="20"/>
              </w:rPr>
              <w:lastRenderedPageBreak/>
              <w:t>банком и соответствующей требованиям статьи 45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(в действующей редакции), или внесением денежных средств на указанный Государственным заказчиком счёт, на котором в соответствии с законодательством Российской Федерации учитываются операции со средствами, поступающими</w:t>
            </w:r>
            <w:proofErr w:type="gramEnd"/>
            <w:r w:rsidRPr="00911B9C">
              <w:rPr>
                <w:rFonts w:ascii="Trebuchet MS" w:hAnsi="Trebuchet MS"/>
                <w:sz w:val="20"/>
                <w:szCs w:val="20"/>
              </w:rPr>
              <w:t xml:space="preserve"> Государственному заказчику. Способ обеспечения исполнения Контракта определяется участником закупки, с которым заключается Контракт, самостоятельно. Срок действия банковской гарантии должен превышать срок действия Контракта не менее чем на один месяц.</w:t>
            </w:r>
            <w:r w:rsidRPr="00911B9C">
              <w:rPr>
                <w:rFonts w:ascii="Trebuchet MS" w:hAnsi="Trebuchet MS"/>
                <w:sz w:val="20"/>
                <w:szCs w:val="20"/>
              </w:rPr>
              <w:br/>
              <w:t>6.3. Денежные средства, которые поступили от участника закупки в счёт обеспечения исполнения Контракта, считаются временно поступившими в распоряжение Государственного заказчика и зачисляются на лицевой счёт Государственного заказчика в таком качестве.</w:t>
            </w:r>
            <w:r w:rsidRPr="00911B9C">
              <w:rPr>
                <w:rFonts w:ascii="Trebuchet MS" w:hAnsi="Trebuchet MS"/>
                <w:sz w:val="20"/>
                <w:szCs w:val="20"/>
              </w:rPr>
              <w:br/>
              <w:t>6.4. Указанные денежные средства находятся в распоряжении Государственного заказчика на всё время исполнения настоящего Контракта до полного исполнения обязатель</w:t>
            </w:r>
            <w:proofErr w:type="gramStart"/>
            <w:r w:rsidRPr="00911B9C">
              <w:rPr>
                <w:rFonts w:ascii="Trebuchet MS" w:hAnsi="Trebuchet MS"/>
                <w:sz w:val="20"/>
                <w:szCs w:val="20"/>
              </w:rPr>
              <w:t>ств Ст</w:t>
            </w:r>
            <w:proofErr w:type="gramEnd"/>
            <w:r w:rsidRPr="00911B9C">
              <w:rPr>
                <w:rFonts w:ascii="Trebuchet MS" w:hAnsi="Trebuchet MS"/>
                <w:sz w:val="20"/>
                <w:szCs w:val="20"/>
              </w:rPr>
              <w:t>оронами.</w:t>
            </w:r>
            <w:r w:rsidRPr="00911B9C">
              <w:rPr>
                <w:rFonts w:ascii="Trebuchet MS" w:hAnsi="Trebuchet MS"/>
                <w:sz w:val="20"/>
                <w:szCs w:val="20"/>
              </w:rPr>
              <w:br/>
              <w:t>6.5. Возврат денежных средств, поступивших от участника закупки в счёт обеспечения исполнения Контракта, осуществляется на основании пунктов 5.5 и 10.4 настоящего Контракта, но не позднее 30 (тридцати) банковских дней.</w:t>
            </w:r>
            <w:r w:rsidRPr="00911B9C">
              <w:rPr>
                <w:rFonts w:ascii="Trebuchet MS" w:hAnsi="Trebuchet MS"/>
                <w:sz w:val="20"/>
                <w:szCs w:val="20"/>
              </w:rPr>
              <w:br/>
              <w:t>6.6. Возврат денежных средств, поступивших от участника закупки в счёт обеспечения исполнения Контракта, может быть осуществлён на основании пунктов 5.5 и 10.4 настоящего Контракта и заявления Исполнителя о возврате денежных средств, поступивших в качестве обеспечения исполнения Контракта. Заявление составляется Исполнителем в произвольной форме с содержанием необходимых реквизитов Исполнителя.</w:t>
            </w:r>
            <w:r w:rsidRPr="00911B9C">
              <w:rPr>
                <w:rFonts w:ascii="Trebuchet MS" w:hAnsi="Trebuchet MS"/>
                <w:sz w:val="20"/>
                <w:szCs w:val="20"/>
              </w:rPr>
              <w:br/>
            </w: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7</w:t>
            </w:r>
            <w:r w:rsidR="00293BFB"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. СРОК ДЕЙСТВИЯ КОНТРАКТА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911B9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911B9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</w:tcPr>
          <w:p w:rsidR="00293BFB" w:rsidRPr="00911B9C" w:rsidRDefault="00911B9C" w:rsidP="00911B9C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7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.1. Настоящий Контра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кт вст</w:t>
            </w:r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упает в силу с момента подписания и заканчивает свое действие 31 декабря 2017 г.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</w:tcPr>
          <w:p w:rsidR="00293BFB" w:rsidRPr="00911B9C" w:rsidRDefault="00911B9C" w:rsidP="00911B9C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7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.2. Срок оказания услуг: с 01.06.2017 по 31.12.2017 г.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911B9C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7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.3. Обязательства по настоящему Контракту накладываются на Исполнителя только в течение срока его действия.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911B9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911B9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center"/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. ОТВЕТСТВЕННОСТЬ СТОРОН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.1. 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309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.2. В случае если у Заказчика возникнут обоснованные претензии к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у(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ам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) Системы(м) в частях качества включенной в него/них информации и/или некорректной работы программных средств, и/или иной предоставленной информации и материалов, подготовленных Исполнителем с использованием Систем, Исполнитель обязуется рассмотреть Претензию Заказчика в течение 15 (пятнадцати) дней с момента ее получения. В случае признания Претензии обоснованной Исполнитель обязан устранить недостатки в разумный срок. В случае 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неустранения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о(</w:t>
            </w:r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их) экземпляра(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Системы(м) в течение 1 (одного) месяца, предшествующего моменту возникновения Претензии у Заказчика, и/или досрочного расторжения настоящего Контракта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Контракт.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br/>
              <w:t>Исполнитель не несет ответственности за качество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Системы, в отношении которого(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ых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не оказываются услуги по сопровождению.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2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.3. При нарушении Заказчиком условий оплаты информационных услуг с использованием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Системы) Исполнитель имеет право прекратить оказание данных услуг,  предварительно уведомив об этом Заказчика за 5 (пять) дней.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.4. Настоящий 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Контракт</w:t>
            </w:r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 может быть расторгнут по соглашению Сторон или по решению суда по основаниям, предусмотренным действующим законодательством РФ.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1425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.5. Исполнитель несет ответственность за качество и работоспособность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Системы(м), с использованием которого(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ых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он оказывает услуги в соответствии с п. 3.2 настоящего Контракта, только при условии, что данный(е) экземпляр(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ы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Системы(м) отключен(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ы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от возможности одновременной работы с экземпляром(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ами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Системы, в отношении которой(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ых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Заказчик отказался от информационных услуг.  Отключение от возможности одновременной работы должно быть осуществлено не позднее шести месяцев с момента такого отказа. Исполнитель обязан произвести данное отключение по первому требованию Заказчика.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8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.6. Все споры, возникающие при исполнении настоящего Контракта, разрешаются Сторонами путем переговоров. При не урегулировании спора путем переговоров, споры подлежат разрешению в Арбитражном суде Волгоградской области.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Сторона, право которой нарушено, до обращения в суд обязана соблюсти претензионный порядок, направив другой Стороне письменную претензию с изложением своих требований.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36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lastRenderedPageBreak/>
              <w:t xml:space="preserve">Сторона, получившая претензию обязана рассмотреть её не позднее 7 (семи) дней 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с даты получения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 претензии.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По истечении 10 (десяти) дней со дня предъявления претензии, если указанное в претензии требование не будет удовлетворено или будет удовлетворенно частично, направившая её Сторона вправе обратиться в суд. Датой предъявления претензии считается дата отметки почтового ведомства о принятии письма к отправке, либо отметка одной из Сторон о получении претензии в случае, если претензия передается нарочно.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293BFB" w:rsidP="00BD0593">
            <w:pPr>
              <w:jc w:val="both"/>
            </w:pPr>
            <w:r w:rsidRPr="00911B9C">
              <w:rPr>
                <w:rFonts w:ascii="Arial" w:hAnsi="Arial" w:cs="Arial"/>
                <w:sz w:val="18"/>
                <w:szCs w:val="18"/>
              </w:rPr>
              <w:t>К претензиям к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у(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ам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Системы(м) в частях качества включенной в него/них информации и/или некорректной работы программных средств применяется претензионный порядок, указанный в п. 7.2. Контракта.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. ОСОБЫЕ УСЛОВИЯ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35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.1. Заказчик имеет право отказаться от информационных услуг с использованием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Системы), оказываемых Исполнителем, до истечения срока действия настоящего Контракта. Заказчик обязан уведомить Исполнителя о таком отказе не менее чем за 30 (тридцать) дней.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960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.2. Оказание информационных услуг с использованием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Системы), отмененное Заказчиком в соответствии с п. 8.1. настоящего Контракта, может быть продолжено Исполнителем после оплаты Заказчиком стоимости возобновления оказания услуг по Прейскуранту Исполнителя.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1695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.3. В случае отказа Заказчика от информационных услуг с использованием экземпляра Системы (услуг по адаптации и сопровождению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) Системы), оказываемых Исполнителем в соответствии с п. 2.1 настоящего Контракта, оказание Заказчику любых услуг с использованием данного экземпляра Системы, в том числе осуществление технической профилактики работоспособности экземпляра Системы, восстановление работоспособности экземпляра Системы, перенос экземпляра Системы (сетевой и 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флэш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 версии экземпляра Системы) на друго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й(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ую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) компьютер (локальную сеть или 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флэш-носитель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),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.4. Условия настоящего Контракта и дополнительных соглашений к нему являются конфиденциальными и не подлежат разглашению, за исключением случаев, когда иное предусмотрено законодательством РФ.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92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.5. Разработчик Систем вправе самостоятельно определять информационное содержание Систем в рамках их общей направленности. 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Информация, содержащаяся в Системе, включая авторские материалы (комментарии, книги, статьи, ответы на вопросы и т.д.), имеет справочный характер.</w:t>
            </w:r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 xml:space="preserve"> Разработчик не несет ответственности за правильность информации, изложенной в авторских материалах.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.6. Во всех случаях указания каких-либо сроков по настоящему Контракту под днями понимаются официальные рабочие дни, под месяцами - полные календарные месяцы.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.7. В случае если в силу технических особенностей определенной Системы какие-либо условия настоящего Контракта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.8. Исполнитель может оказывать информационные услуги с использованием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 (услуг по адаптации и сопровождению экземпляра(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Системы) по настоящему Контракту с привлечением третьих лиц.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.9. Исполнитель может получать служебные файлы и информацию с компьютера Заказчика, необходимые для надлежащего оказания информационных услуг с использованием экземпляр</w:t>
            </w:r>
            <w:proofErr w:type="gramStart"/>
            <w:r w:rsidR="00293BFB"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Системы(м) (услуг по адаптации и сопровождению экземпляра(</w:t>
            </w:r>
            <w:proofErr w:type="spellStart"/>
            <w:r w:rsidR="00293BFB"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="00293BFB" w:rsidRPr="00911B9C">
              <w:rPr>
                <w:rFonts w:ascii="Arial" w:hAnsi="Arial" w:cs="Arial"/>
                <w:sz w:val="18"/>
                <w:szCs w:val="18"/>
              </w:rPr>
              <w:t>) Системы(м)).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p w:rsidR="00293BFB" w:rsidRPr="00911B9C" w:rsidRDefault="00911B9C" w:rsidP="00BD0593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93BFB" w:rsidRPr="00911B9C">
              <w:rPr>
                <w:rFonts w:ascii="Arial" w:hAnsi="Arial" w:cs="Arial"/>
                <w:sz w:val="18"/>
                <w:szCs w:val="18"/>
              </w:rPr>
              <w:t>.10. Особенности использования, сопровождения и передачи третьим лицам некоторых экземпляров Системы могут определяться дополнительным соглашение к настоящему Контракту.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477"/>
        </w:trPr>
        <w:tc>
          <w:tcPr>
            <w:tcW w:w="10200" w:type="dxa"/>
            <w:gridSpan w:val="12"/>
            <w:shd w:val="clear" w:color="auto" w:fill="auto"/>
            <w:vAlign w:val="bottom"/>
          </w:tcPr>
          <w:tbl>
            <w:tblPr>
              <w:tblW w:w="10802" w:type="dxa"/>
              <w:tblLayout w:type="fixed"/>
              <w:tblCellMar>
                <w:left w:w="30" w:type="dxa"/>
                <w:right w:w="0" w:type="dxa"/>
              </w:tblCellMar>
              <w:tblLook w:val="0000"/>
            </w:tblPr>
            <w:tblGrid>
              <w:gridCol w:w="5421"/>
              <w:gridCol w:w="389"/>
              <w:gridCol w:w="931"/>
              <w:gridCol w:w="82"/>
              <w:gridCol w:w="99"/>
              <w:gridCol w:w="87"/>
              <w:gridCol w:w="1795"/>
              <w:gridCol w:w="1923"/>
              <w:gridCol w:w="75"/>
            </w:tblGrid>
            <w:tr w:rsidR="00293BFB" w:rsidRPr="00911B9C" w:rsidTr="00293BFB">
              <w:trPr>
                <w:trHeight w:val="240"/>
              </w:trPr>
              <w:tc>
                <w:tcPr>
                  <w:tcW w:w="10727" w:type="dxa"/>
                  <w:gridSpan w:val="8"/>
                  <w:shd w:val="clear" w:color="auto" w:fill="auto"/>
                  <w:vAlign w:val="center"/>
                </w:tcPr>
                <w:p w:rsidR="00293BFB" w:rsidRPr="00911B9C" w:rsidRDefault="00911B9C" w:rsidP="00BD0593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  <w:r w:rsidR="00293BFB" w:rsidRPr="00911B9C">
                    <w:rPr>
                      <w:rFonts w:ascii="Arial" w:hAnsi="Arial" w:cs="Arial"/>
                      <w:sz w:val="18"/>
                      <w:szCs w:val="18"/>
                    </w:rPr>
                    <w:t>.11. У любой из Сторон, которая является кредитором по денежному обязательству другой Стороны (должника), возникшему в связи с действием настоящего Договора, не возникает права на получение с должника процентов на сумму долга за период пользования денежными средствами по ст. 317.1 Гражданского кодекса РФ.</w:t>
                  </w:r>
                </w:p>
              </w:tc>
              <w:tc>
                <w:tcPr>
                  <w:tcW w:w="7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93BFB" w:rsidRPr="00911B9C" w:rsidTr="00293BFB">
              <w:trPr>
                <w:trHeight w:val="255"/>
              </w:trPr>
              <w:tc>
                <w:tcPr>
                  <w:tcW w:w="6741" w:type="dxa"/>
                  <w:gridSpan w:val="3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2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79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23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r w:rsidRPr="00911B9C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293BFB" w:rsidRPr="00911B9C" w:rsidTr="00293BFB">
              <w:trPr>
                <w:trHeight w:val="255"/>
              </w:trPr>
              <w:tc>
                <w:tcPr>
                  <w:tcW w:w="10727" w:type="dxa"/>
                  <w:gridSpan w:val="8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93BFB" w:rsidRPr="00911B9C" w:rsidTr="00293BFB">
              <w:trPr>
                <w:trHeight w:val="255"/>
              </w:trPr>
              <w:tc>
                <w:tcPr>
                  <w:tcW w:w="5421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9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  <w:gridSpan w:val="3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79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23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r w:rsidRPr="00911B9C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293BFB" w:rsidRPr="00911B9C" w:rsidTr="00293BFB">
              <w:trPr>
                <w:trHeight w:val="255"/>
              </w:trPr>
              <w:tc>
                <w:tcPr>
                  <w:tcW w:w="5421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17" w:type="dxa"/>
                  <w:gridSpan w:val="6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93BFB" w:rsidRPr="00911B9C" w:rsidTr="00293BFB">
              <w:trPr>
                <w:trHeight w:val="255"/>
              </w:trPr>
              <w:tc>
                <w:tcPr>
                  <w:tcW w:w="5421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9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  <w:gridSpan w:val="3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7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79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23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</w:tcPr>
                <w:p w:rsidR="00293BFB" w:rsidRPr="00911B9C" w:rsidRDefault="00293BFB" w:rsidP="00BD0593">
                  <w:r w:rsidRPr="00911B9C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293BFB" w:rsidRPr="00911B9C" w:rsidRDefault="00293BFB" w:rsidP="00BD0593">
            <w:pPr>
              <w:jc w:val="both"/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80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10200" w:type="dxa"/>
            <w:gridSpan w:val="12"/>
            <w:shd w:val="clear" w:color="auto" w:fill="auto"/>
            <w:vAlign w:val="center"/>
          </w:tcPr>
          <w:p w:rsidR="00293BFB" w:rsidRPr="00911B9C" w:rsidRDefault="00911B9C" w:rsidP="00BD0593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293BFB"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. РЕКВИЗИТЫ СТОРОН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67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ЗАКАЗЧИК: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ИСПОЛНИТЕЛЬ: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70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МУНИЦИПАЛЬНОЕ УНИТАРНОЕ ПРЕДПРИЯТИЕ  АДМИНИСТРАЦИИ ГОРОДСКОГО ПОСЕЛЕНИЯ Г.КОТОВО  "КОТЕЛЬНЫЕ И ТЕПЛОВЫЕ СЕТИ"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ИНН   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lastRenderedPageBreak/>
              <w:t>КПП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Адрес места нахождения: 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 xml:space="preserve">Адрес места нахождения:  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Почтовый адрес: 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 xml:space="preserve">Почтовый адрес:  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Банковские реквизиты: 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Банковские реквизиты:  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БИК   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ОКПО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ОКПО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ОКВЭД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ОКВЭД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Телефоны: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Телефоны: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-mail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:     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-mail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/должность/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7" w:type="dxa"/>
            <w:gridSpan w:val="10"/>
            <w:shd w:val="clear" w:color="auto" w:fill="auto"/>
            <w:vAlign w:val="bottom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8"/>
                <w:szCs w:val="18"/>
              </w:rPr>
              <w:t>/должность/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25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/                            /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jc w:val="right"/>
            </w:pPr>
            <w:r w:rsidRPr="00911B9C">
              <w:rPr>
                <w:rFonts w:ascii="Arial" w:hAnsi="Arial" w:cs="Arial"/>
                <w:sz w:val="18"/>
                <w:szCs w:val="18"/>
              </w:rPr>
              <w:t>/                          /</w:t>
            </w: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40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40"/>
        </w:trPr>
        <w:tc>
          <w:tcPr>
            <w:tcW w:w="4438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2" w:type="dxa"/>
            <w:gridSpan w:val="3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rPr>
          <w:gridBefore w:val="1"/>
          <w:gridAfter w:val="3"/>
          <w:wBefore w:w="10" w:type="dxa"/>
          <w:wAfter w:w="592" w:type="dxa"/>
          <w:trHeight w:val="252"/>
        </w:trPr>
        <w:tc>
          <w:tcPr>
            <w:tcW w:w="4438" w:type="dxa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МП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7" w:type="dxa"/>
            <w:gridSpan w:val="10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</w:pPr>
            <w:r w:rsidRPr="00911B9C">
              <w:rPr>
                <w:rFonts w:ascii="Arial" w:hAnsi="Arial" w:cs="Arial"/>
                <w:sz w:val="18"/>
                <w:szCs w:val="18"/>
              </w:rPr>
              <w:t>МП</w:t>
            </w:r>
          </w:p>
        </w:tc>
      </w:tr>
      <w:tr w:rsidR="00293BFB" w:rsidRPr="00911B9C" w:rsidTr="00293BFB">
        <w:tblPrEx>
          <w:tblCellMar>
            <w:left w:w="0" w:type="dxa"/>
            <w:right w:w="0" w:type="dxa"/>
          </w:tblCellMar>
        </w:tblPrEx>
        <w:trPr>
          <w:hidden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</w:tcPr>
          <w:p w:rsidR="00293BFB" w:rsidRPr="00911B9C" w:rsidRDefault="00293BFB" w:rsidP="00BD0593">
            <w:pPr>
              <w:snapToGrid w:val="0"/>
              <w:rPr>
                <w:vanish/>
                <w:sz w:val="20"/>
                <w:szCs w:val="20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10727" w:type="dxa"/>
            <w:gridSpan w:val="15"/>
            <w:vMerge w:val="restart"/>
            <w:shd w:val="clear" w:color="auto" w:fill="auto"/>
            <w:vAlign w:val="center"/>
          </w:tcPr>
          <w:p w:rsidR="00293BFB" w:rsidRPr="00911B9C" w:rsidRDefault="00293BFB" w:rsidP="00BD0593">
            <w:pPr>
              <w:spacing w:line="225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</w:rPr>
              <w:t>СОГЛАШЕНИЕ</w:t>
            </w:r>
            <w:r w:rsidRPr="00911B9C">
              <w:rPr>
                <w:rFonts w:ascii="Arial" w:hAnsi="Arial" w:cs="Arial"/>
                <w:b/>
                <w:bCs/>
              </w:rPr>
              <w:br/>
              <w:t>О ПОРЯДКЕ И УСЛОВИЯХ ИСПОЛЬЗОВАНИЯ ЭКЗЕМПЛЯР</w:t>
            </w:r>
            <w:proofErr w:type="gramStart"/>
            <w:r w:rsidRPr="00911B9C">
              <w:rPr>
                <w:rFonts w:ascii="Arial" w:hAnsi="Arial" w:cs="Arial"/>
                <w:b/>
                <w:bCs/>
              </w:rPr>
              <w:t>А(</w:t>
            </w:r>
            <w:proofErr w:type="gramEnd"/>
            <w:r w:rsidRPr="00911B9C">
              <w:rPr>
                <w:rFonts w:ascii="Arial" w:hAnsi="Arial" w:cs="Arial"/>
                <w:b/>
                <w:bCs/>
              </w:rPr>
              <w:t>ОВ) МОДУЛЯ ДОСТУПА</w:t>
            </w:r>
            <w:r w:rsidRPr="00911B9C">
              <w:rPr>
                <w:rFonts w:ascii="Arial" w:hAnsi="Arial" w:cs="Arial"/>
                <w:b/>
                <w:bCs/>
              </w:rPr>
              <w:br/>
              <w:t>ОП КОНСУЛЬТАНТПЛЮС: КОНСТРУКТОР ДОГОВОРОВ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10727" w:type="dxa"/>
            <w:gridSpan w:val="15"/>
            <w:vMerge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10727" w:type="dxa"/>
            <w:gridSpan w:val="15"/>
            <w:vMerge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10727" w:type="dxa"/>
            <w:gridSpan w:val="15"/>
            <w:vMerge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1155"/>
        </w:trPr>
        <w:tc>
          <w:tcPr>
            <w:tcW w:w="10727" w:type="dxa"/>
            <w:gridSpan w:val="15"/>
            <w:vMerge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г. Волгоград</w:t>
            </w: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18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«___»________________ 2017 г.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30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______________________________________________________________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- официальный Дистрибьютор Сети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именуемое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 в дальнейшем Исполнитель, в лице ________________________________________, действующей на основании ________________________, с одной стороны, и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300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57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МУНИЦИПАЛЬНОЕ УНИТАРНОЕ ПРЕДПРИЯТИЕ  АДМИНИСТРАЦИИ ГОРОДСКОГО ПОСЕЛЕНИЯ Г.КОТОВО  "КОТЕЛЬНЫЕ И ТЕПЛОВЫЕ СЕТИ"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10727" w:type="dxa"/>
            <w:gridSpan w:val="1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именуемое в дальнейшем Заказчик, в лице  Директора МУП «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КиТС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» г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.К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отово  Гаврилова Сергея Павловича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/должность, Ф.И.О. полностью/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действующего на основании _____________________, с другой стороны, вместе именуемые Стороны, заключили к Контракту № ______________ от «___»______________ 2017 г. настоящее Соглашение (далее - Соглашение) о нижеследующем: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1. ОСНОВНЫЕ ПОНЯТИЯ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1.1.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Онлайн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Приложение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: Конструктор договоров (далее также - Конструктор договоров или КД) - программа для ЭВМ, предназначенная для создания, просмотра, экспорта и сохранения проектов договоров (программное средство, информационный продукт вычислительной техники).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1.2. Модуль доступа Конструктора договоров - программа для ЭВМ, предназначенная для организации взаимодействия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Онлайн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Приложения КД с комплектом Справочных Правовых Систем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Заказчика, сопровождаемым Исполнителем (программное средство, информационный продукт вычислительной техники).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1.3. Экземпляр Модуля доступа Конструктора договоров - копия Модуля доступа КД на материальном носителе.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lastRenderedPageBreak/>
              <w:t>1.4. Порядок доступа к Конструктору договоров (далее - Порядок доступа) - совокупность технических параметров, разрешенных способов и условий доступа к Конструктору договоров.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9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2. ПОРЯДОК ДОСТУПА И ИСПОЛЬЗОВАНИЯ</w:t>
            </w: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ЭКЗЕМПЛЯР</w:t>
            </w:r>
            <w:proofErr w:type="gramStart"/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А(</w:t>
            </w:r>
            <w:proofErr w:type="gramEnd"/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ОВ) МОДУЛЯ ДОСТУПА КОНСТРУКТОРА ДОГОВОРОВ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2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2.1. Заказчик вправе использовать экземпляр Модуля доступа КД в порядке, определенном Контрактом для использования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Системы(м), с техническими параметрами, указанными в настоящем Соглашении.</w:t>
            </w:r>
            <w:r w:rsidRPr="00911B9C">
              <w:rPr>
                <w:rFonts w:ascii="Arial" w:hAnsi="Arial" w:cs="Arial"/>
                <w:sz w:val="18"/>
                <w:szCs w:val="18"/>
              </w:rPr>
              <w:br/>
              <w:t>2.2. Технические параметры Модуля доступа КД: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114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2.2.1. Для доступа к Конструктору договоров экземпляр Модуля доступа КД должен быть установлен в компле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кт Спр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авочных Правовых Систем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Заказчика, содержащий любую сопровождаемую основную Систему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. Перечень основных Систем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приводится в Прейскуранте Исполнителя. Информационные услуги с использованием Конструктора договоров (услуги по сопровождению КД) предоставляются Исполнителем только при условии одновременного платного сопровождения основной Системы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. В случае отключения сопровождения основной Системы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КонсультантПлюс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доступ к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Онлайн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Приложению КД блокируется.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2.2.2. Порядок доступа к Конструктору договоров определяется соглашениями Сторон о порядке доступа к сопровождаемому Исполнителем комплекту Систем, в который установлен экземпляр Модуля доступа КД.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2.2.3. Для доступа к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Онлайн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Приложению КД необходима техническая возможность выхода в Интернет (как минимум, доступ по протоколу 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http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 к узлам "*.consultant.ru:80" (в случае если нет полного доступа в Интернет)). Скорость трафика не менее 256 Кбит/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2.2.4. При соблюдении вышеуказанных технических параметров возможность доступа к Конструктору договоров предоставляется не позднее 3 (трех) рабочих дней после регистрации 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Онлайн-регистрации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Исполнителем Модуля доступа КД.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2.2.5. К передаче экземпляр</w:t>
            </w: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а(</w:t>
            </w:r>
            <w:proofErr w:type="spellStart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Модуля доступа КД третьим лицам применяются по аналогии условия Контракта о передаче экземпляра(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) Системы(м).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2.2.6. Исполнитель обеспечивает возможность доступа к Конструктору договоров в сети Интернет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планово-профилактических работ на серверном оборудовании.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Не являются перерывами в предоставлении услуг случаи, когда невозможность доступа к КД в сети Интернет вызвана неполадками в работе компьютерного, телекоммуникационного оборудования или каналов связи Заказчика или третьих лиц (в том числе оборудования оператора, предоставляющего Заказчику услуги связи), их несоответствием техническим параметрам, указанным в Разделе 2 настоящего Соглашения.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2.2.7. Все расходы, связанные с обеспечением достаточного для оказания текущих информационных услуг трафика, оплачиваются Заказчиком за свой счет.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Работоспособность компьютерного, телекоммуникационного оборудования Заказчика и каналов связи Заказчик обеспечивает самостоятельно.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6741" w:type="dxa"/>
            <w:gridSpan w:val="6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10727" w:type="dxa"/>
            <w:gridSpan w:val="15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3. РЕКВИЗИТЫ СТОРОН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ЗАКАЗЧИК: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>ИСПОЛНИТЕЛЬ: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55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69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bCs/>
                <w:sz w:val="18"/>
                <w:szCs w:val="18"/>
              </w:rPr>
              <w:t>МУНИЦИПАЛЬНОЕ УНИТАРНОЕ ПРЕДПРИЯТИЕ  АДМИНИСТРАЦИИ ГОРОДСКОГО ПОСЕЛЕНИЯ Г.КОТОВО  "КОТЕЛЬНЫЕ И ТЕПЛОВЫЕ СЕТИ"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ИНН 3414014885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КПП 341401001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Адрес (место нахождения) юридического лица: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Адрес (место нахождения) юридического лица: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403805, Волгоградская </w:t>
            </w: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обл</w:t>
            </w:r>
            <w:proofErr w:type="spellEnd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, Котовский р-н, Котово г, УЛ МИРА, ДОМ 159А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Почтовый адрес:  403805, Волгоградская </w:t>
            </w: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обл</w:t>
            </w:r>
            <w:proofErr w:type="spellEnd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, Котовский р-н, Котово г, УЛ МИРА, ДОМ 159А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465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Банковские реквизиты: 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Банковские реквизиты: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р</w:t>
            </w:r>
            <w:proofErr w:type="spellEnd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/с № 40702810611090100740 в Волгоградском отделении №8621 ПАО СБЕРБАНК Г. ВОЛГОГРАДА 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р</w:t>
            </w:r>
            <w:proofErr w:type="spellEnd"/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 xml:space="preserve">/с №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к/с № 30101810100000000647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к/с №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БИК  041806647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БИК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ОКПО 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ОКПО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ОГРН 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ОГРН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ОКВЭД 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ОКВЭД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lastRenderedPageBreak/>
              <w:t>Телефоны: 7-84455-21003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Телефоны: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  <w:lang w:val="en-US"/>
              </w:rPr>
              <w:t>-mail: teploseti2002@yandex.ru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911B9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911B9C">
              <w:rPr>
                <w:rFonts w:ascii="Arial" w:hAnsi="Arial" w:cs="Arial"/>
                <w:sz w:val="18"/>
                <w:szCs w:val="18"/>
              </w:rPr>
              <w:t>-mail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  Директор МУП «</w:t>
            </w:r>
            <w:proofErr w:type="spellStart"/>
            <w:r w:rsidRPr="00911B9C">
              <w:rPr>
                <w:rFonts w:ascii="Arial" w:hAnsi="Arial" w:cs="Arial"/>
                <w:sz w:val="18"/>
                <w:szCs w:val="18"/>
              </w:rPr>
              <w:t>КиТС</w:t>
            </w:r>
            <w:proofErr w:type="spellEnd"/>
            <w:r w:rsidRPr="00911B9C">
              <w:rPr>
                <w:rFonts w:ascii="Arial" w:hAnsi="Arial" w:cs="Arial"/>
                <w:sz w:val="18"/>
                <w:szCs w:val="18"/>
              </w:rPr>
              <w:t>» г. Котово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 xml:space="preserve">/должность/ 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shd w:val="clear" w:color="auto" w:fill="auto"/>
            <w:vAlign w:val="bottom"/>
          </w:tcPr>
          <w:p w:rsidR="00293BFB" w:rsidRPr="00911B9C" w:rsidRDefault="00293BFB" w:rsidP="00BD0593">
            <w:pPr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/должность/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/    С.П. Гаврилов       /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93BFB" w:rsidRPr="00911B9C" w:rsidRDefault="00293BFB" w:rsidP="00BD059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/                                     /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r w:rsidRPr="00911B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93BFB" w:rsidRPr="00911B9C" w:rsidTr="00293BFB">
        <w:tblPrEx>
          <w:tblCellMar>
            <w:left w:w="30" w:type="dxa"/>
            <w:right w:w="0" w:type="dxa"/>
          </w:tblCellMar>
        </w:tblPrEx>
        <w:trPr>
          <w:trHeight w:val="240"/>
        </w:trPr>
        <w:tc>
          <w:tcPr>
            <w:tcW w:w="5421" w:type="dxa"/>
            <w:gridSpan w:val="3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МП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7" w:type="dxa"/>
            <w:gridSpan w:val="11"/>
            <w:shd w:val="clear" w:color="auto" w:fill="auto"/>
            <w:vAlign w:val="center"/>
          </w:tcPr>
          <w:p w:rsidR="00293BFB" w:rsidRPr="00911B9C" w:rsidRDefault="00293BFB" w:rsidP="00BD05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1B9C">
              <w:rPr>
                <w:rFonts w:ascii="Arial" w:hAnsi="Arial" w:cs="Arial"/>
                <w:sz w:val="18"/>
                <w:szCs w:val="18"/>
              </w:rPr>
              <w:t>МП</w:t>
            </w:r>
          </w:p>
        </w:tc>
        <w:tc>
          <w:tcPr>
            <w:tcW w:w="75" w:type="dxa"/>
            <w:shd w:val="clear" w:color="auto" w:fill="auto"/>
            <w:vAlign w:val="center"/>
          </w:tcPr>
          <w:p w:rsidR="00293BFB" w:rsidRPr="00911B9C" w:rsidRDefault="00293BFB" w:rsidP="00BD059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93BFB" w:rsidRPr="00911B9C" w:rsidRDefault="00293BFB" w:rsidP="00293BFB">
      <w:pPr>
        <w:pStyle w:val="ConsPlusNonformat"/>
        <w:rPr>
          <w:rFonts w:ascii="Arial" w:hAnsi="Arial" w:cs="Arial"/>
        </w:rPr>
      </w:pPr>
    </w:p>
    <w:p w:rsidR="00293BFB" w:rsidRPr="00911B9C" w:rsidRDefault="00293BFB" w:rsidP="00293BFB">
      <w:pPr>
        <w:rPr>
          <w:rFonts w:ascii="Arial" w:hAnsi="Arial" w:cs="Arial"/>
          <w:sz w:val="20"/>
          <w:szCs w:val="20"/>
        </w:rPr>
      </w:pPr>
    </w:p>
    <w:p w:rsidR="00293BFB" w:rsidRPr="00911B9C" w:rsidRDefault="00293BFB" w:rsidP="00293BFB">
      <w:pPr>
        <w:rPr>
          <w:rFonts w:ascii="Arial" w:hAnsi="Arial" w:cs="Arial"/>
          <w:sz w:val="20"/>
          <w:szCs w:val="20"/>
        </w:rPr>
      </w:pPr>
    </w:p>
    <w:p w:rsidR="001429F9" w:rsidRPr="00911B9C" w:rsidRDefault="001429F9"/>
    <w:sectPr w:rsidR="001429F9" w:rsidRPr="00911B9C" w:rsidSect="00293BFB">
      <w:pgSz w:w="11906" w:h="16838"/>
      <w:pgMar w:top="1134" w:right="454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BFB"/>
    <w:rsid w:val="001429F9"/>
    <w:rsid w:val="00293BFB"/>
    <w:rsid w:val="00911B9C"/>
    <w:rsid w:val="00B66A71"/>
    <w:rsid w:val="00EB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B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93BF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3">
    <w:name w:val="Strong"/>
    <w:basedOn w:val="a0"/>
    <w:uiPriority w:val="22"/>
    <w:qFormat/>
    <w:rsid w:val="00911B9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66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A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2017-04-26T10:39:00Z</cp:lastPrinted>
  <dcterms:created xsi:type="dcterms:W3CDTF">2017-04-26T07:49:00Z</dcterms:created>
  <dcterms:modified xsi:type="dcterms:W3CDTF">2017-04-26T10:52:00Z</dcterms:modified>
</cp:coreProperties>
</file>